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b w:val="1"/>
          <w:rtl w:val="0"/>
        </w:rPr>
        <w:t xml:space="preserve">TERMES DE REFERENCES POUR LE RECRUTEMENT D’UN CONSULTANT SPÉCIALISTE EN PASSATION DES MARCHÉS</w:t>
      </w:r>
    </w:p>
    <w:p w:rsidR="00000000" w:rsidDel="00000000" w:rsidP="00000000" w:rsidRDefault="00000000" w:rsidRPr="00000000" w14:paraId="00000006">
      <w:pPr>
        <w:jc w:val="both"/>
        <w:rPr>
          <w:b w:val="1"/>
        </w:rPr>
      </w:pPr>
      <w:r w:rsidDel="00000000" w:rsidR="00000000" w:rsidRPr="00000000">
        <w:rPr>
          <w:rtl w:val="0"/>
        </w:rPr>
      </w:r>
    </w:p>
    <w:p w:rsidR="00000000" w:rsidDel="00000000" w:rsidP="00000000" w:rsidRDefault="00000000" w:rsidRPr="00000000" w14:paraId="00000007">
      <w:pPr>
        <w:tabs>
          <w:tab w:val="left" w:leader="none" w:pos="1692"/>
        </w:tabs>
        <w:rPr>
          <w:b w:val="1"/>
        </w:rPr>
      </w:pPr>
      <w:r w:rsidDel="00000000" w:rsidR="00000000" w:rsidRPr="00000000">
        <w:rPr>
          <w:rtl w:val="0"/>
        </w:rPr>
      </w:r>
    </w:p>
    <w:p w:rsidR="00000000" w:rsidDel="00000000" w:rsidP="00000000" w:rsidRDefault="00000000" w:rsidRPr="00000000" w14:paraId="00000008">
      <w:pPr>
        <w:keepNext w:val="1"/>
        <w:ind w:left="360" w:firstLine="0"/>
        <w:jc w:val="both"/>
        <w:rPr>
          <w:b w:val="1"/>
        </w:rPr>
      </w:pPr>
      <w:bookmarkStart w:colFirst="0" w:colLast="0" w:name="_heading=h.gjdgxs" w:id="0"/>
      <w:bookmarkEnd w:id="0"/>
      <w:r w:rsidDel="00000000" w:rsidR="00000000" w:rsidRPr="00000000">
        <w:rPr>
          <w:b w:val="1"/>
          <w:rtl w:val="0"/>
        </w:rPr>
        <w:t xml:space="preserve">I. Contexte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Créé il y a 5 ans, l'Union des Ambassadeurs (UDA) est un réseau d'entrepreneurs et de professionnels maliens issus de la diaspora qui ont fait le choix de s'investir au Mali. L’UDA a lancé un programme quinquennal dénommé "Séguin So 2028" (en bambara, il signifie “retour à la maison / retour chez soi”), qui a pour objectif principal de proposer des opportunités d'investissement productif à fort impact pour la diaspora et ses partenaires en faveur du développement économique et social du Mali. Il est composé de 4 projets phares.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SMART CITY - RESILIENCE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Création d’une zone d'affaires mixte (PME, franchises, grandes entreprises, habitations éco-responsables, agriculture urbaine) intelligente sur 10 Ha, pour intégrer les projets privés à destination du Mali avec à terme, la création de 6000 emplois directs et indirects. L’idée est d’absorber et diriger les flux de la diaspora vers de l’investissement plus productif et d’intégrer un mécanisme de formation professionnelle continue de la jeunesse.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Z.A.P (ZONE AGRICOLE PARTAGÉE)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Création d’un dispositif donnant accès à du foncier sécurisé, une formation agricole, des débouchés garantis à travers des accords d’achat des productions, la mutualisation du matériel et des ressources humaines. L’ensemble sera mis en oeuvre à travers une coopérative agricole qui mettra l’accent sur l’innovation des outils, la gestion des énergies et de la valorisation de la chaîne agricole. La ZAP favorisera l’intégration des maliens dans le secteur agricole, et la captation des flux de la diaspora vers de l’investissement plus productif. Elle permettra ainsi la création de  richesses et d’emplois. Situé à Baguineda, le premier pilote de la ZAP ambitionne de former 200 jeunes au cours des 3 prochaines années.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KALAN FI BARA (APPRENDRE AU TRAVAIL)</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Programme de transfert de compétences de la diaspora et des migrants de retour pour le renforcement des capacités dans le secteur de la santé. Il s’agit d’un voyage immersif regroupant des professionnels de la santé et permettant à la diaspora de partager ses compétences en renforçant les capacités dans le secteur de la  santé publique au Mali. Il permettra d’optimiser la productivité et l’impact des actions humanitaires à destination du pays, former le personnel soignant, susciter des vocations afin d’intégrer et d’absorber les intentions d’investissement dans le secteur et ainsi de rendre accessibles au plus grand nombre, des soins de qualité.</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PILOT - FAT 32</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Création d'un outil de cartographie et de pilotage de l’investissement et des ressources humaines de la diaspora. Il permet de se munir d’une solution mise à jour en temps réel qui permettra de capter, orienter les projets et les investissements vers des mécanismes sécurisés et plus productifs au service du développement social et économique du Mali.</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Ces 4 solutions innovantes sont conçues pour être adaptées aux réalités maliennes : la culture, l’histoire, la sécurité, la diplomatie, la politique, l’économie, l’administratif, les ressources humaines, etc. Le SS2028, prend en compte de manière objective, tous les aspects de l’écosystème malien nécessaire à la réussite de la mise en œuvre des projets et l’atteinte de leurs objectifs respectifs. Elles s’appuient sur une gouvernance transparente, des Partenariats Publics-Privés, de l’intelligence collective et visent à un retour sur investissement sécurisé et plus productif pour le développement social et économique du Mali</w:t>
      </w: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108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Responsabilité et tâches</w:t>
      </w:r>
    </w:p>
    <w:p w:rsidR="00000000" w:rsidDel="00000000" w:rsidP="00000000" w:rsidRDefault="00000000" w:rsidRPr="00000000" w14:paraId="00000015">
      <w:pPr>
        <w:jc w:val="both"/>
        <w:rPr/>
      </w:pPr>
      <w:r w:rsidDel="00000000" w:rsidR="00000000" w:rsidRPr="00000000">
        <w:rPr>
          <w:rtl w:val="0"/>
        </w:rPr>
        <w:t xml:space="preserve">Sous la supervision générale du Responsable Administratif et Financier, le SPM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numPr>
          <w:ilvl w:val="0"/>
          <w:numId w:val="1"/>
        </w:numPr>
        <w:ind w:left="720" w:hanging="360"/>
        <w:jc w:val="both"/>
        <w:rPr/>
      </w:pPr>
      <w:r w:rsidDel="00000000" w:rsidR="00000000" w:rsidRPr="00000000">
        <w:rPr>
          <w:rtl w:val="0"/>
        </w:rPr>
        <w:t xml:space="preserve">Sera responsable de la mise en place d’un système simple de gestion de la passation des marchés comprenant : (i) la planification des opérations de passation des marchés, (ii) le suivi de l’avancement, (iii) l’analyse des écarts entre les réalisations et le plan de passation des marchés.</w:t>
      </w:r>
    </w:p>
    <w:p w:rsidR="00000000" w:rsidDel="00000000" w:rsidP="00000000" w:rsidRDefault="00000000" w:rsidRPr="00000000" w14:paraId="00000018">
      <w:pPr>
        <w:numPr>
          <w:ilvl w:val="0"/>
          <w:numId w:val="1"/>
        </w:numPr>
        <w:ind w:left="720" w:hanging="360"/>
        <w:jc w:val="both"/>
        <w:rPr/>
      </w:pPr>
      <w:r w:rsidDel="00000000" w:rsidR="00000000" w:rsidRPr="00000000">
        <w:rPr>
          <w:rtl w:val="0"/>
        </w:rPr>
        <w:t xml:space="preserve">Sera responsable du contrôle qualité de l’ensemble du processus d’acquisition, et plus précisément de ce qui suit : </w:t>
      </w:r>
    </w:p>
    <w:p w:rsidR="00000000" w:rsidDel="00000000" w:rsidP="00000000" w:rsidRDefault="00000000" w:rsidRPr="00000000" w14:paraId="00000019">
      <w:pPr>
        <w:numPr>
          <w:ilvl w:val="1"/>
          <w:numId w:val="2"/>
        </w:numPr>
        <w:ind w:left="1440" w:hanging="360"/>
        <w:jc w:val="both"/>
        <w:rPr/>
      </w:pPr>
      <w:r w:rsidDel="00000000" w:rsidR="00000000" w:rsidRPr="00000000">
        <w:rPr>
          <w:rtl w:val="0"/>
        </w:rPr>
        <w:t xml:space="preserve">Faire le suivi auprès des services techniques bénéficiaires de l’acquisition ou de l’unité d’exécution du projet de la préparation et la finalisation des termes de référence (TDR), pour les acquisitions de service de consultant, et des spécifications techniques des biens et travaux ;</w:t>
      </w:r>
    </w:p>
    <w:p w:rsidR="00000000" w:rsidDel="00000000" w:rsidP="00000000" w:rsidRDefault="00000000" w:rsidRPr="00000000" w14:paraId="0000001A">
      <w:pPr>
        <w:numPr>
          <w:ilvl w:val="1"/>
          <w:numId w:val="2"/>
        </w:numPr>
        <w:ind w:left="1440" w:hanging="360"/>
        <w:jc w:val="both"/>
        <w:rPr/>
      </w:pPr>
      <w:r w:rsidDel="00000000" w:rsidR="00000000" w:rsidRPr="00000000">
        <w:rPr>
          <w:rtl w:val="0"/>
        </w:rPr>
        <w:t xml:space="preserve">Faire le contrôle qualité des dossiers d’appel d’offres, et des demandes de propositions (suivant les modèles fournis par l’Union Européenne), et assurer leur transmission/vente selon le cas ;</w:t>
      </w:r>
    </w:p>
    <w:p w:rsidR="00000000" w:rsidDel="00000000" w:rsidP="00000000" w:rsidRDefault="00000000" w:rsidRPr="00000000" w14:paraId="0000001B">
      <w:pPr>
        <w:numPr>
          <w:ilvl w:val="1"/>
          <w:numId w:val="2"/>
        </w:numPr>
        <w:ind w:left="1440" w:hanging="360"/>
        <w:jc w:val="both"/>
        <w:rPr/>
      </w:pPr>
      <w:r w:rsidDel="00000000" w:rsidR="00000000" w:rsidRPr="00000000">
        <w:rPr>
          <w:rtl w:val="0"/>
        </w:rPr>
        <w:t xml:space="preserve">Procéder au lancement des appels d’offres (le cas échéant aux avis à manifestation d’intérêt ou présélection), selon les modes convenus dans les directives de l’UE ;</w:t>
      </w:r>
    </w:p>
    <w:p w:rsidR="00000000" w:rsidDel="00000000" w:rsidP="00000000" w:rsidRDefault="00000000" w:rsidRPr="00000000" w14:paraId="0000001C">
      <w:pPr>
        <w:numPr>
          <w:ilvl w:val="1"/>
          <w:numId w:val="2"/>
        </w:numPr>
        <w:ind w:left="1440" w:hanging="360"/>
        <w:jc w:val="both"/>
        <w:rPr/>
      </w:pPr>
      <w:r w:rsidDel="00000000" w:rsidR="00000000" w:rsidRPr="00000000">
        <w:rPr>
          <w:rtl w:val="0"/>
        </w:rPr>
        <w:t xml:space="preserve">Assurer le contrôle qualité des rapports d’évaluation des offres et propositions reçues, y compris des rapports d’ouverture des offres, et assurer le secrétariat des séances publiques d’ouverture des plis;</w:t>
      </w:r>
    </w:p>
    <w:p w:rsidR="00000000" w:rsidDel="00000000" w:rsidP="00000000" w:rsidRDefault="00000000" w:rsidRPr="00000000" w14:paraId="0000001D">
      <w:pPr>
        <w:numPr>
          <w:ilvl w:val="1"/>
          <w:numId w:val="2"/>
        </w:numPr>
        <w:ind w:left="1440" w:hanging="360"/>
        <w:jc w:val="both"/>
        <w:rPr/>
      </w:pPr>
      <w:r w:rsidDel="00000000" w:rsidR="00000000" w:rsidRPr="00000000">
        <w:rPr>
          <w:rtl w:val="0"/>
        </w:rPr>
        <w:t xml:space="preserve">Assurer que les rapports d’ouverture de plis et d’évaluation des offres sont signés conjointement par les membres désignés de ces commissions ; </w:t>
      </w:r>
    </w:p>
    <w:p w:rsidR="00000000" w:rsidDel="00000000" w:rsidP="00000000" w:rsidRDefault="00000000" w:rsidRPr="00000000" w14:paraId="0000001E">
      <w:pPr>
        <w:numPr>
          <w:ilvl w:val="1"/>
          <w:numId w:val="2"/>
        </w:numPr>
        <w:ind w:left="1440" w:hanging="360"/>
        <w:jc w:val="both"/>
        <w:rPr/>
      </w:pPr>
      <w:r w:rsidDel="00000000" w:rsidR="00000000" w:rsidRPr="00000000">
        <w:rPr>
          <w:rtl w:val="0"/>
        </w:rPr>
        <w:t xml:space="preserve">Être l’interlocuteur du bailleur de fonds pour toutes les questions relatives aux acquisitions  ;</w:t>
      </w:r>
    </w:p>
    <w:p w:rsidR="00000000" w:rsidDel="00000000" w:rsidP="00000000" w:rsidRDefault="00000000" w:rsidRPr="00000000" w14:paraId="0000001F">
      <w:pPr>
        <w:numPr>
          <w:ilvl w:val="1"/>
          <w:numId w:val="2"/>
        </w:numPr>
        <w:ind w:left="1440" w:hanging="360"/>
        <w:jc w:val="both"/>
        <w:rPr/>
      </w:pPr>
      <w:r w:rsidDel="00000000" w:rsidR="00000000" w:rsidRPr="00000000">
        <w:rPr>
          <w:rtl w:val="0"/>
        </w:rPr>
        <w:t xml:space="preserve">Assurer le contrôle qualité des contrats préparés par les experts techniques, et veiller à leurs signatures par les personnes habilitées à le faire ; et</w:t>
      </w:r>
    </w:p>
    <w:p w:rsidR="00000000" w:rsidDel="00000000" w:rsidP="00000000" w:rsidRDefault="00000000" w:rsidRPr="00000000" w14:paraId="00000020">
      <w:pPr>
        <w:numPr>
          <w:ilvl w:val="1"/>
          <w:numId w:val="2"/>
        </w:numPr>
        <w:ind w:left="1440" w:hanging="360"/>
        <w:jc w:val="both"/>
        <w:rPr/>
      </w:pPr>
      <w:r w:rsidDel="00000000" w:rsidR="00000000" w:rsidRPr="00000000">
        <w:rPr>
          <w:rtl w:val="0"/>
        </w:rPr>
        <w:t xml:space="preserve">Concevoir et mettre en place une base de données fournisseurs, et développer des statistiques de gestion qui permettront aux bailleurs de mesurer le niveau de performance de l’équipe chargée de la passation des marchés.</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numPr>
          <w:ilvl w:val="0"/>
          <w:numId w:val="1"/>
        </w:numPr>
        <w:ind w:left="720" w:hanging="360"/>
        <w:jc w:val="both"/>
        <w:rPr/>
      </w:pPr>
      <w:r w:rsidDel="00000000" w:rsidR="00000000" w:rsidRPr="00000000">
        <w:rPr>
          <w:rtl w:val="0"/>
        </w:rPr>
        <w:t xml:space="preserve">Sera chargé de vérifier la planification, la préparation et la consolidation des plans de passation des marchés des services de consultants et de fournitures et travaux du projet ; </w:t>
      </w:r>
    </w:p>
    <w:p w:rsidR="00000000" w:rsidDel="00000000" w:rsidP="00000000" w:rsidRDefault="00000000" w:rsidRPr="00000000" w14:paraId="00000023">
      <w:pPr>
        <w:ind w:left="720" w:firstLine="0"/>
        <w:jc w:val="both"/>
        <w:rPr/>
      </w:pPr>
      <w:r w:rsidDel="00000000" w:rsidR="00000000" w:rsidRPr="00000000">
        <w:rPr>
          <w:rtl w:val="0"/>
        </w:rPr>
      </w:r>
    </w:p>
    <w:p w:rsidR="00000000" w:rsidDel="00000000" w:rsidP="00000000" w:rsidRDefault="00000000" w:rsidRPr="00000000" w14:paraId="00000024">
      <w:pPr>
        <w:numPr>
          <w:ilvl w:val="0"/>
          <w:numId w:val="1"/>
        </w:numPr>
        <w:ind w:left="720" w:hanging="360"/>
        <w:jc w:val="both"/>
        <w:rPr/>
      </w:pPr>
      <w:r w:rsidDel="00000000" w:rsidR="00000000" w:rsidRPr="00000000">
        <w:rPr>
          <w:rtl w:val="0"/>
        </w:rPr>
        <w:t xml:space="preserve">Sera responsable de l’établissement de tous les rapports d’activités prescrits par le manuel des procédures de passation des marchés du projet ZAP, mais également de tout autre rapport que l’IDA pourrait demander dans le cadre de l’exécution du projet.</w:t>
      </w:r>
    </w:p>
    <w:p w:rsidR="00000000" w:rsidDel="00000000" w:rsidP="00000000" w:rsidRDefault="00000000" w:rsidRPr="00000000" w14:paraId="00000025">
      <w:pPr>
        <w:ind w:left="720" w:firstLine="0"/>
        <w:jc w:val="both"/>
        <w:rPr/>
      </w:pPr>
      <w:r w:rsidDel="00000000" w:rsidR="00000000" w:rsidRPr="00000000">
        <w:rPr>
          <w:rtl w:val="0"/>
        </w:rPr>
      </w:r>
    </w:p>
    <w:p w:rsidR="00000000" w:rsidDel="00000000" w:rsidP="00000000" w:rsidRDefault="00000000" w:rsidRPr="00000000" w14:paraId="00000026">
      <w:pPr>
        <w:numPr>
          <w:ilvl w:val="0"/>
          <w:numId w:val="1"/>
        </w:numPr>
        <w:ind w:left="720" w:hanging="360"/>
        <w:jc w:val="both"/>
        <w:rPr/>
      </w:pPr>
      <w:r w:rsidDel="00000000" w:rsidR="00000000" w:rsidRPr="00000000">
        <w:rPr>
          <w:rtl w:val="0"/>
        </w:rPr>
        <w:t xml:space="preserve">Devra mettre en place un système de classement des dossiers de passation des marchés qui inclura pour chaque marché tous les documents relatifs à ce marché y compris les documents relatifs aux paiements, en vue de permettre toute revue a posteriori de l’UE.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numPr>
          <w:ilvl w:val="0"/>
          <w:numId w:val="1"/>
        </w:numPr>
        <w:ind w:left="720" w:hanging="360"/>
        <w:jc w:val="both"/>
        <w:rPr/>
      </w:pPr>
      <w:r w:rsidDel="00000000" w:rsidR="00000000" w:rsidRPr="00000000">
        <w:rPr>
          <w:rtl w:val="0"/>
        </w:rPr>
        <w:t xml:space="preserve">Exécutera toutes tâches à lui confiées par la Direction de l’UDA et qui sont en relation avec des tâches définies dans ses TdR et dans le Manuel de Mise en Œuvre du Projet.</w:t>
      </w:r>
    </w:p>
    <w:p w:rsidR="00000000" w:rsidDel="00000000" w:rsidP="00000000" w:rsidRDefault="00000000" w:rsidRPr="00000000" w14:paraId="00000029">
      <w:pPr>
        <w:ind w:left="720" w:firstLine="0"/>
        <w:jc w:val="both"/>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III. </w:t>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Qualifications professionnelles et </w:t>
      </w:r>
      <w:r w:rsidDel="00000000" w:rsidR="00000000" w:rsidRPr="00000000">
        <w:rPr>
          <w:rFonts w:ascii="Arial" w:cs="Arial" w:eastAsia="Arial" w:hAnsi="Arial"/>
          <w:b w:val="1"/>
          <w:sz w:val="22"/>
          <w:szCs w:val="22"/>
          <w:rtl w:val="0"/>
        </w:rPr>
        <w:t xml:space="preserve">compétences requises</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diplôme supérieur en Ingénierie, Administration publique, Droit commercial, ou Gestion (minimum Bac + 4, équivalent d'une maîtrise (Master)) ;</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Excellente connaissance des techniques de passation des marchés en général et des règles de procédure de passation des marchés </w:t>
      </w:r>
      <w:r w:rsidDel="00000000" w:rsidR="00000000" w:rsidRPr="00000000">
        <w:rPr>
          <w:rtl w:val="0"/>
        </w:rPr>
        <w:t xml:space="preserve">de l’UE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aussi bien que du cycle de projet ;</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Expérience professionnelle : 5 ans minimum dont 3 ans au moins dans le domaine de la passation des marchés en qualité d’expert en passation des marchés pour des projets </w:t>
      </w:r>
      <w:r w:rsidDel="00000000" w:rsidR="00000000" w:rsidRPr="00000000">
        <w:rPr>
          <w:rtl w:val="0"/>
        </w:rPr>
        <w:t xml:space="preserve">financés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 </w:t>
      </w:r>
      <w:r w:rsidDel="00000000" w:rsidR="00000000" w:rsidRPr="00000000">
        <w:rPr>
          <w:rtl w:val="0"/>
        </w:rPr>
        <w:t xml:space="preserve">l’UE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Bonne connaissance du français de même qu’une aptitude à communiquer oralement et verbalement aussi bien avec les responsables du projet, que la hiérarchie et les collègues ;</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Une bonne capacité de résolution des problèmes liés à la Passation de marchés publics</w:t>
      </w:r>
      <w:r w:rsidDel="00000000" w:rsidR="00000000" w:rsidRPr="00000000">
        <w:rPr>
          <w:rtl w:val="0"/>
        </w:rPr>
        <w:t xml:space="preserve"> ou privés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Une connaissance informatique des logiciels courants (Word, Excel, Power Point, E-mail et autres outils de communication) ; et</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Bonne aptitude pour la communication et le travail en équipe.</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Une intégrité morale et professionnelle et une grande capacité et aptitude à travailler en équipe pluridisciplinaire et sous pression.</w:t>
      </w:r>
      <w:r w:rsidDel="00000000" w:rsidR="00000000" w:rsidRPr="00000000">
        <w:rPr>
          <w:b w:val="1"/>
          <w:u w:val="single"/>
          <w:rtl w:val="0"/>
        </w:rPr>
        <w:t xml:space="preserve">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ind w:left="720" w:firstLine="0"/>
        <w:jc w:val="both"/>
        <w:rPr/>
      </w:pPr>
      <w:r w:rsidDel="00000000" w:rsidR="00000000" w:rsidRPr="00000000">
        <w:rPr>
          <w:rtl w:val="0"/>
        </w:rPr>
      </w:r>
    </w:p>
    <w:p w:rsidR="00000000" w:rsidDel="00000000" w:rsidP="00000000" w:rsidRDefault="00000000" w:rsidRPr="00000000" w14:paraId="00000036">
      <w:pPr>
        <w:spacing w:line="276" w:lineRule="auto"/>
        <w:jc w:val="both"/>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Dossier de candidature (CV + lettre de motivation) à faire parvenir à l’adresse </w:t>
      </w:r>
      <w:hyperlink r:id="rId7">
        <w:r w:rsidDel="00000000" w:rsidR="00000000" w:rsidRPr="00000000">
          <w:rPr>
            <w:rtl w:val="0"/>
          </w:rPr>
          <w:t xml:space="preserve">uda.recrutement@outlook.co</w:t>
        </w:r>
      </w:hyperlink>
      <w:r w:rsidDel="00000000" w:rsidR="00000000" w:rsidRPr="00000000">
        <w:rPr>
          <w:rtl w:val="0"/>
        </w:rPr>
        <w:t xml:space="preserve">m</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spacing w:line="276" w:lineRule="auto"/>
        <w:jc w:val="both"/>
        <w:rPr/>
      </w:pPr>
      <w:r w:rsidDel="00000000" w:rsidR="00000000" w:rsidRPr="00000000">
        <w:rPr>
          <w:rtl w:val="0"/>
        </w:rPr>
      </w:r>
    </w:p>
    <w:p w:rsidR="00000000" w:rsidDel="00000000" w:rsidP="00000000" w:rsidRDefault="00000000" w:rsidRPr="00000000" w14:paraId="0000003A">
      <w:pPr>
        <w:spacing w:line="276" w:lineRule="auto"/>
        <w:jc w:val="both"/>
        <w:rPr/>
      </w:pPr>
      <w:r w:rsidDel="00000000" w:rsidR="00000000" w:rsidRPr="00000000">
        <w:rPr>
          <w:rtl w:val="0"/>
        </w:rPr>
      </w:r>
    </w:p>
    <w:p w:rsidR="00000000" w:rsidDel="00000000" w:rsidP="00000000" w:rsidRDefault="00000000" w:rsidRPr="00000000" w14:paraId="0000003B">
      <w:pPr>
        <w:jc w:val="both"/>
        <w:rPr>
          <w:b w:val="1"/>
          <w:u w:val="single"/>
        </w:rPr>
      </w:pPr>
      <w:r w:rsidDel="00000000" w:rsidR="00000000" w:rsidRPr="00000000">
        <w:rPr>
          <w:rtl w:val="0"/>
        </w:rPr>
      </w:r>
    </w:p>
    <w:sectPr>
      <w:footerReference r:id="rId8" w:type="default"/>
      <w:footerReference r:id="rId9" w:type="even"/>
      <w:pgSz w:h="16838" w:w="11906" w:orient="portrait"/>
      <w:pgMar w:bottom="1152" w:top="1152" w:left="1411" w:right="1411" w:header="706" w:footer="70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2"/>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rPr>
  </w:style>
  <w:style w:type="paragraph" w:styleId="Normal" w:default="1">
    <w:name w:val="Normal"/>
    <w:qFormat w:val="1"/>
    <w:rsid w:val="007412C2"/>
    <w:rPr>
      <w:rFonts w:ascii="Times New Roman" w:cs="Times New Roman" w:eastAsia="Times New Roman" w:hAnsi="Times New Roman"/>
      <w:sz w:val="24"/>
      <w:szCs w:val="24"/>
      <w:lang w:eastAsia="fr-FR" w:val="fr-FR"/>
    </w:rPr>
  </w:style>
  <w:style w:type="paragraph" w:styleId="Heading1">
    <w:name w:val="heading 1"/>
    <w:basedOn w:val="Normal"/>
    <w:next w:val="Normal"/>
    <w:link w:val="Heading1Char"/>
    <w:uiPriority w:val="9"/>
    <w:qFormat w:val="1"/>
    <w:rsid w:val="00FE5A9B"/>
    <w:pPr>
      <w:keepNext w:val="1"/>
      <w:keepLines w:val="1"/>
      <w:spacing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link w:val="Heading2Char"/>
    <w:uiPriority w:val="9"/>
    <w:qFormat w:val="1"/>
    <w:rsid w:val="00FB27B7"/>
    <w:pPr>
      <w:spacing w:after="100" w:afterAutospacing="1" w:before="100" w:beforeAutospacing="1"/>
      <w:outlineLvl w:val="1"/>
    </w:pPr>
    <w:rPr>
      <w:b w:val="1"/>
      <w:bCs w:val="1"/>
      <w:sz w:val="36"/>
      <w:szCs w:val="36"/>
      <w:lang w:eastAsia="en-US" w:val="en-US"/>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rsid w:val="007412C2"/>
    <w:pPr>
      <w:suppressAutoHyphens w:val="1"/>
      <w:spacing w:after="120"/>
      <w:jc w:val="both"/>
    </w:pPr>
    <w:rPr>
      <w:szCs w:val="20"/>
      <w:lang w:val="en-US"/>
    </w:rPr>
  </w:style>
  <w:style w:type="character" w:styleId="BodyTextChar" w:customStyle="1">
    <w:name w:val="Body Text Char"/>
    <w:basedOn w:val="DefaultParagraphFont"/>
    <w:link w:val="BodyText"/>
    <w:rsid w:val="007412C2"/>
    <w:rPr>
      <w:rFonts w:ascii="Times New Roman" w:cs="Times New Roman" w:eastAsia="Times New Roman" w:hAnsi="Times New Roman"/>
      <w:sz w:val="24"/>
      <w:szCs w:val="20"/>
      <w:lang w:eastAsia="fr-FR"/>
    </w:rPr>
  </w:style>
  <w:style w:type="paragraph" w:styleId="Title">
    <w:name w:val="Title"/>
    <w:basedOn w:val="Normal"/>
    <w:link w:val="TitleChar"/>
    <w:qFormat w:val="1"/>
    <w:rsid w:val="007412C2"/>
    <w:pPr>
      <w:jc w:val="center"/>
    </w:pPr>
    <w:rPr>
      <w:b w:val="1"/>
      <w:bCs w:val="1"/>
      <w:lang w:val="en-GB"/>
    </w:rPr>
  </w:style>
  <w:style w:type="character" w:styleId="TitleChar" w:customStyle="1">
    <w:name w:val="Title Char"/>
    <w:basedOn w:val="DefaultParagraphFont"/>
    <w:link w:val="Title"/>
    <w:rsid w:val="007412C2"/>
    <w:rPr>
      <w:rFonts w:ascii="Times New Roman" w:cs="Times New Roman" w:eastAsia="Times New Roman" w:hAnsi="Times New Roman"/>
      <w:b w:val="1"/>
      <w:bCs w:val="1"/>
      <w:sz w:val="24"/>
      <w:szCs w:val="24"/>
      <w:lang w:eastAsia="fr-FR" w:val="en-GB"/>
    </w:rPr>
  </w:style>
  <w:style w:type="paragraph" w:styleId="Footer">
    <w:name w:val="footer"/>
    <w:basedOn w:val="Normal"/>
    <w:link w:val="FooterChar"/>
    <w:rsid w:val="007412C2"/>
    <w:pPr>
      <w:tabs>
        <w:tab w:val="center" w:pos="4536"/>
        <w:tab w:val="right" w:pos="9072"/>
      </w:tabs>
    </w:pPr>
  </w:style>
  <w:style w:type="character" w:styleId="FooterChar" w:customStyle="1">
    <w:name w:val="Footer Char"/>
    <w:basedOn w:val="DefaultParagraphFont"/>
    <w:link w:val="Footer"/>
    <w:rsid w:val="007412C2"/>
    <w:rPr>
      <w:rFonts w:ascii="Times New Roman" w:cs="Times New Roman" w:eastAsia="Times New Roman" w:hAnsi="Times New Roman"/>
      <w:sz w:val="24"/>
      <w:szCs w:val="24"/>
      <w:lang w:eastAsia="fr-FR" w:val="fr-FR"/>
    </w:rPr>
  </w:style>
  <w:style w:type="character" w:styleId="PageNumber">
    <w:name w:val="page number"/>
    <w:basedOn w:val="DefaultParagraphFont"/>
    <w:rsid w:val="007412C2"/>
  </w:style>
  <w:style w:type="paragraph" w:styleId="Paragraphedeliste1" w:customStyle="1">
    <w:name w:val="Paragraphe de liste1"/>
    <w:basedOn w:val="Normal"/>
    <w:qFormat w:val="1"/>
    <w:rsid w:val="007412C2"/>
    <w:pPr>
      <w:ind w:left="708"/>
    </w:pPr>
  </w:style>
  <w:style w:type="paragraph" w:styleId="FootnoteText">
    <w:name w:val="footnote text"/>
    <w:basedOn w:val="Normal"/>
    <w:link w:val="FootnoteTextChar"/>
    <w:uiPriority w:val="99"/>
    <w:unhideWhenUsed w:val="1"/>
    <w:qFormat w:val="1"/>
    <w:rsid w:val="007412C2"/>
    <w:rPr>
      <w:sz w:val="20"/>
      <w:szCs w:val="20"/>
    </w:rPr>
  </w:style>
  <w:style w:type="character" w:styleId="FootnoteTextChar" w:customStyle="1">
    <w:name w:val="Footnote Text Char"/>
    <w:basedOn w:val="DefaultParagraphFont"/>
    <w:link w:val="FootnoteText"/>
    <w:uiPriority w:val="99"/>
    <w:rsid w:val="007412C2"/>
    <w:rPr>
      <w:rFonts w:ascii="Times New Roman" w:cs="Times New Roman" w:eastAsia="Times New Roman" w:hAnsi="Times New Roman"/>
      <w:sz w:val="20"/>
      <w:szCs w:val="20"/>
      <w:lang w:eastAsia="fr-FR" w:val="fr-FR"/>
    </w:rPr>
  </w:style>
  <w:style w:type="character" w:styleId="FootnoteReference">
    <w:name w:val="footnote reference"/>
    <w:basedOn w:val="DefaultParagraphFont"/>
    <w:link w:val="16PointChar"/>
    <w:uiPriority w:val="99"/>
    <w:unhideWhenUsed w:val="1"/>
    <w:qFormat w:val="1"/>
    <w:rsid w:val="007412C2"/>
    <w:rPr>
      <w:vertAlign w:val="superscript"/>
    </w:rPr>
  </w:style>
  <w:style w:type="paragraph" w:styleId="ListParagraph">
    <w:name w:val="List Paragraph"/>
    <w:aliases w:val="Bullets,Liste 1,List Paragraph1,Paragraphe  revu,Paragraphe de liste1,References,Bullet L1,List Paragraph (numbered (a)),Lapis Bulleted List,Tableau Adere,Numbered paragraph,List Paragraph-ExecSummary,Bullet List,FooterText,numbered,lp1"/>
    <w:link w:val="ListParagraphChar"/>
    <w:uiPriority w:val="34"/>
    <w:qFormat w:val="1"/>
    <w:rsid w:val="009C4291"/>
    <w:pPr>
      <w:ind w:left="720"/>
      <w:contextualSpacing w:val="1"/>
    </w:pPr>
    <w:rPr>
      <w:rFonts w:ascii="Arial" w:hAnsi="Arial"/>
    </w:rPr>
  </w:style>
  <w:style w:type="character" w:styleId="Heading2Char" w:customStyle="1">
    <w:name w:val="Heading 2 Char"/>
    <w:basedOn w:val="DefaultParagraphFont"/>
    <w:link w:val="Heading2"/>
    <w:uiPriority w:val="9"/>
    <w:rsid w:val="00FB27B7"/>
    <w:rPr>
      <w:rFonts w:ascii="Times New Roman" w:cs="Times New Roman" w:eastAsia="Times New Roman" w:hAnsi="Times New Roman"/>
      <w:b w:val="1"/>
      <w:bCs w:val="1"/>
      <w:sz w:val="36"/>
      <w:szCs w:val="36"/>
    </w:rPr>
  </w:style>
  <w:style w:type="table" w:styleId="TableGrid">
    <w:name w:val="Table Grid"/>
    <w:basedOn w:val="TableNormal"/>
    <w:uiPriority w:val="59"/>
    <w:rsid w:val="000A284D"/>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ListParagraphChar" w:customStyle="1">
    <w:name w:val="List Paragraph Char"/>
    <w:aliases w:val="Bullets Char,Liste 1 Char,List Paragraph1 Char,Paragraphe  revu Char,Paragraphe de liste1 Char,References Char,Bullet L1 Char,List Paragraph (numbered (a)) Char,Lapis Bulleted List Char,Tableau Adere Char,Numbered paragraph Char"/>
    <w:basedOn w:val="DefaultParagraphFont"/>
    <w:link w:val="ListParagraph"/>
    <w:uiPriority w:val="34"/>
    <w:qFormat w:val="1"/>
    <w:rsid w:val="009C4291"/>
    <w:rPr>
      <w:rFonts w:ascii="Arial" w:hAnsi="Arial"/>
    </w:rPr>
  </w:style>
  <w:style w:type="character" w:styleId="Emphasis">
    <w:name w:val="Emphasis"/>
    <w:basedOn w:val="DefaultParagraphFont"/>
    <w:uiPriority w:val="20"/>
    <w:qFormat w:val="1"/>
    <w:rsid w:val="00CA141C"/>
    <w:rPr>
      <w:b w:val="1"/>
      <w:bCs w:val="1"/>
      <w:i w:val="0"/>
      <w:iCs w:val="0"/>
    </w:rPr>
  </w:style>
  <w:style w:type="character" w:styleId="st" w:customStyle="1">
    <w:name w:val="st"/>
    <w:basedOn w:val="DefaultParagraphFont"/>
    <w:rsid w:val="00CA141C"/>
  </w:style>
  <w:style w:type="character" w:styleId="Hyperlink">
    <w:name w:val="Hyperlink"/>
    <w:basedOn w:val="DefaultParagraphFont"/>
    <w:uiPriority w:val="99"/>
    <w:unhideWhenUsed w:val="1"/>
    <w:rsid w:val="002E7A33"/>
    <w:rPr>
      <w:color w:val="0000ff" w:themeColor="hyperlink"/>
      <w:u w:val="single"/>
    </w:rPr>
  </w:style>
  <w:style w:type="character" w:styleId="FollowedHyperlink">
    <w:name w:val="FollowedHyperlink"/>
    <w:basedOn w:val="DefaultParagraphFont"/>
    <w:uiPriority w:val="99"/>
    <w:semiHidden w:val="1"/>
    <w:unhideWhenUsed w:val="1"/>
    <w:rsid w:val="001D2A31"/>
    <w:rPr>
      <w:color w:val="800080" w:themeColor="followedHyperlink"/>
      <w:u w:val="single"/>
    </w:rPr>
  </w:style>
  <w:style w:type="paragraph" w:styleId="Default" w:customStyle="1">
    <w:name w:val="Default"/>
    <w:rsid w:val="00027891"/>
    <w:pPr>
      <w:autoSpaceDE w:val="0"/>
      <w:autoSpaceDN w:val="0"/>
      <w:adjustRightInd w:val="0"/>
    </w:pPr>
    <w:rPr>
      <w:rFonts w:ascii="Candara" w:cs="Candara" w:hAnsi="Candara"/>
      <w:color w:val="000000"/>
      <w:sz w:val="24"/>
      <w:szCs w:val="24"/>
    </w:rPr>
  </w:style>
  <w:style w:type="paragraph" w:styleId="NormalWeb">
    <w:name w:val="Normal (Web)"/>
    <w:basedOn w:val="Normal"/>
    <w:uiPriority w:val="99"/>
    <w:unhideWhenUsed w:val="1"/>
    <w:rsid w:val="003F4F8B"/>
    <w:pPr>
      <w:spacing w:after="100" w:afterAutospacing="1" w:before="100" w:beforeAutospacing="1"/>
    </w:pPr>
    <w:rPr>
      <w:lang w:eastAsia="en-US" w:val="en-US"/>
    </w:rPr>
  </w:style>
  <w:style w:type="paragraph" w:styleId="BalloonText">
    <w:name w:val="Balloon Text"/>
    <w:basedOn w:val="Normal"/>
    <w:link w:val="BalloonTextChar"/>
    <w:uiPriority w:val="99"/>
    <w:semiHidden w:val="1"/>
    <w:unhideWhenUsed w:val="1"/>
    <w:rsid w:val="00CE2926"/>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E2926"/>
    <w:rPr>
      <w:rFonts w:ascii="Tahoma" w:cs="Tahoma" w:eastAsia="Times New Roman" w:hAnsi="Tahoma"/>
      <w:sz w:val="16"/>
      <w:szCs w:val="16"/>
      <w:lang w:eastAsia="fr-FR" w:val="fr-FR"/>
    </w:rPr>
  </w:style>
  <w:style w:type="paragraph" w:styleId="textearticle" w:customStyle="1">
    <w:name w:val="textearticle"/>
    <w:basedOn w:val="Normal"/>
    <w:rsid w:val="00454119"/>
    <w:pPr>
      <w:spacing w:after="100" w:afterAutospacing="1" w:before="100" w:beforeAutospacing="1"/>
    </w:pPr>
  </w:style>
  <w:style w:type="character" w:styleId="Heading1Char" w:customStyle="1">
    <w:name w:val="Heading 1 Char"/>
    <w:basedOn w:val="DefaultParagraphFont"/>
    <w:link w:val="Heading1"/>
    <w:uiPriority w:val="9"/>
    <w:rsid w:val="00FE5A9B"/>
    <w:rPr>
      <w:rFonts w:asciiTheme="majorHAnsi" w:cstheme="majorBidi" w:eastAsiaTheme="majorEastAsia" w:hAnsiTheme="majorHAnsi"/>
      <w:b w:val="1"/>
      <w:bCs w:val="1"/>
      <w:color w:val="365f91" w:themeColor="accent1" w:themeShade="0000BF"/>
      <w:sz w:val="28"/>
      <w:szCs w:val="28"/>
      <w:lang w:eastAsia="fr-FR" w:val="fr-FR"/>
    </w:rPr>
  </w:style>
  <w:style w:type="paragraph" w:styleId="16PointChar" w:customStyle="1">
    <w:name w:val="16 Point Char"/>
    <w:aliases w:val="Superscript 6 Point Char,ftref Char,BVI fnr Char,Footnote Reference Number Char,Normal + Font:9 Point Char,Superscript 3 Point Times Char"/>
    <w:basedOn w:val="Normal"/>
    <w:next w:val="Normal"/>
    <w:link w:val="FootnoteReference"/>
    <w:uiPriority w:val="99"/>
    <w:rsid w:val="005B3D6A"/>
    <w:pPr>
      <w:spacing w:after="160" w:line="240" w:lineRule="exact"/>
    </w:pPr>
    <w:rPr>
      <w:rFonts w:asciiTheme="minorHAnsi" w:cstheme="minorBidi" w:eastAsiaTheme="minorHAnsi" w:hAnsiTheme="minorHAnsi"/>
      <w:sz w:val="22"/>
      <w:szCs w:val="22"/>
      <w:vertAlign w:val="superscript"/>
      <w:lang w:eastAsia="en-US" w:val="en-US"/>
    </w:rPr>
  </w:style>
  <w:style w:type="paragraph" w:styleId="NoSpacing">
    <w:name w:val="No Spacing"/>
    <w:uiPriority w:val="1"/>
    <w:qFormat w:val="1"/>
    <w:rsid w:val="004E2BEE"/>
    <w:rPr>
      <w:rFonts w:ascii="Times New Roman" w:cs="Times New Roman" w:eastAsia="Times New Roman" w:hAnsi="Times New Roman"/>
      <w:sz w:val="24"/>
      <w:szCs w:val="20"/>
      <w:lang w:val="fr-FR"/>
    </w:rPr>
  </w:style>
  <w:style w:type="paragraph" w:styleId="Revision">
    <w:name w:val="Revision"/>
    <w:hidden w:val="1"/>
    <w:uiPriority w:val="99"/>
    <w:semiHidden w:val="1"/>
    <w:rsid w:val="00407F97"/>
    <w:rPr>
      <w:rFonts w:ascii="Times New Roman" w:cs="Times New Roman" w:eastAsia="Times New Roman" w:hAnsi="Times New Roman"/>
      <w:sz w:val="24"/>
      <w:szCs w:val="24"/>
      <w:lang w:eastAsia="fr-FR" w:val="fr-FR"/>
    </w:rPr>
  </w:style>
  <w:style w:type="character" w:styleId="hps" w:customStyle="1">
    <w:name w:val="hps"/>
    <w:basedOn w:val="DefaultParagraphFont"/>
    <w:rsid w:val="0070436E"/>
  </w:style>
  <w:style w:type="character" w:styleId="CommentReference">
    <w:name w:val="annotation reference"/>
    <w:basedOn w:val="DefaultParagraphFont"/>
    <w:uiPriority w:val="99"/>
    <w:semiHidden w:val="1"/>
    <w:unhideWhenUsed w:val="1"/>
    <w:rsid w:val="00BF5B91"/>
    <w:rPr>
      <w:sz w:val="16"/>
      <w:szCs w:val="16"/>
    </w:rPr>
  </w:style>
  <w:style w:type="paragraph" w:styleId="CommentText">
    <w:name w:val="annotation text"/>
    <w:basedOn w:val="Normal"/>
    <w:link w:val="CommentTextChar"/>
    <w:uiPriority w:val="99"/>
    <w:semiHidden w:val="1"/>
    <w:unhideWhenUsed w:val="1"/>
    <w:rsid w:val="00BF5B91"/>
    <w:pPr>
      <w:spacing w:after="160"/>
    </w:pPr>
    <w:rPr>
      <w:rFonts w:asciiTheme="minorHAnsi" w:cstheme="minorBidi" w:eastAsiaTheme="minorHAnsi" w:hAnsiTheme="minorHAnsi"/>
      <w:sz w:val="20"/>
      <w:szCs w:val="20"/>
      <w:lang w:eastAsia="en-US"/>
    </w:rPr>
  </w:style>
  <w:style w:type="character" w:styleId="CommentTextChar" w:customStyle="1">
    <w:name w:val="Comment Text Char"/>
    <w:basedOn w:val="DefaultParagraphFont"/>
    <w:link w:val="CommentText"/>
    <w:uiPriority w:val="99"/>
    <w:semiHidden w:val="1"/>
    <w:rsid w:val="00BF5B91"/>
    <w:rPr>
      <w:sz w:val="20"/>
      <w:szCs w:val="20"/>
      <w:lang w:val="fr-F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uda.recrutement@outlook.com" TargetMode="Externa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aLvA1GbqxVPq67rfy+XplCgOCA==">CgMxLjAyCGguZ2pkZ3hzOAByITFXdDFzZmlxV2htdmxkamhIVHlqNWp6NUVic1lhWU5SaQ==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2025-01-16T13:10:00Z</dcterms:created>
  <dc:creator>Jlevis</dc:creator>
</cp:coreProperties>
</file>